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Bu form, hem taşınır (ok, yay, hedef) hem de sabit kıymetlerin (bilgisayar, mobilya) takibinde kullanılabilir ve yıllık sayım süreçlerini kolaylaştırır.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g01387oc5dnq" w:id="0"/>
      <w:bookmarkEnd w:id="0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ÇAN GELENEKSEL OKÇULUK SPOR KULÜBÜ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875a4vu412x8" w:id="1"/>
      <w:bookmarkEnd w:id="1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ENVANTER (STOK/DEMİRBAŞ) KAYIT FORMU (İD-02/ENV)</w:t>
      </w:r>
    </w:p>
    <w:tbl>
      <w:tblPr>
        <w:tblStyle w:val="Table1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15"/>
        <w:gridCol w:w="6420"/>
        <w:tblGridChange w:id="0">
          <w:tblGrid>
            <w:gridCol w:w="2415"/>
            <w:gridCol w:w="642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ENVANTER BİLGİLERİ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Kayıt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 ENV/2025-001)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Kayıt Tarihi: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[Gün/Ay/Yıl]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Envanter Kategorisi: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Sportif Malzeme ☐ Tesis/Tadilat ☐ İdari/Ofis Malzemesi ☐ Elektronik ☐ Diğer: ________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Konum (Kullanım Yeri):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Genel Merkez Ofis ☐ Kapalı Alan Atış Yeri ☐ Açık Alan Atış Yeri ☐ Yenice Temsilciliği ☐ Depo</w:t>
            </w:r>
          </w:p>
        </w:tc>
      </w:tr>
    </w:tbl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1v2k5jfw6gm1" w:id="2"/>
      <w:bookmarkEnd w:id="2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1. MALZEME/KIYMET DETAYLARI</w:t>
      </w:r>
    </w:p>
    <w:tbl>
      <w:tblPr>
        <w:tblStyle w:val="Table2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95"/>
        <w:gridCol w:w="5940"/>
        <w:tblGridChange w:id="0">
          <w:tblGrid>
            <w:gridCol w:w="2895"/>
            <w:gridCol w:w="594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Malzeme/Kıymet 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(Örn: Olimpik Yay Seti, Ofis Masa Takımı, Projeksiyon Cihazı)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Marka ve 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Seri Numarası / Plaka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(Varsa. Spor malzemelerinde benzersiz kulüp etiketi numarası olabilir.)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Birimi ve Adedi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(Örn: Adet, Koli, Metrekare) / [Rakam]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Edinme Şekli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Satın Alma ☐ Bağış/Hibe ☐ Üretim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Edinme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[Gün/Ay/Yıl]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Fatura/Belge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(Muhasebe takibi için gereklidir.)</w:t>
            </w:r>
          </w:p>
        </w:tc>
      </w:tr>
    </w:tbl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tk2a4iu4ptu2" w:id="3"/>
      <w:bookmarkEnd w:id="3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2. DEĞER VE KULLANIM BİLGİLERİ</w:t>
      </w:r>
    </w:p>
    <w:tbl>
      <w:tblPr>
        <w:tblStyle w:val="Table3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15"/>
        <w:gridCol w:w="5205"/>
        <w:tblGridChange w:id="0">
          <w:tblGrid>
            <w:gridCol w:w="3615"/>
            <w:gridCol w:w="520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Maliyet (KDV Hariç, TL)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(Mali kayıtlar için)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KDV Oranı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Toplam Maliyet (KDV Dahil, TL)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Mevcut Durumu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Yeni ☐ İyi ☐ Orta ☐ Tamir Gerekli ☐ Hurda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Amortisman Durumu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(Demirbaşlar için) ☐ Takip Ediliyor ☐ Süresi Doldu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Bakım Gereksinimi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(Sportif malzemeler/ekipmanlar için)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Zimmetli Personel/Sporcu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(Malzemenin sorumlusu kimdir?)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Zimmet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[Gün/Ay/Yıl]</w:t>
            </w:r>
          </w:p>
        </w:tc>
      </w:tr>
    </w:tbl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yrm8wup2vmbe" w:id="4"/>
      <w:bookmarkEnd w:id="4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3. ENVANTER KONTROL VE İŞLEM BÖLÜMÜ</w:t>
      </w:r>
    </w:p>
    <w:tbl>
      <w:tblPr>
        <w:tblStyle w:val="Table4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0"/>
        <w:gridCol w:w="4485"/>
        <w:gridCol w:w="915"/>
        <w:gridCol w:w="960"/>
        <w:tblGridChange w:id="0">
          <w:tblGrid>
            <w:gridCol w:w="2430"/>
            <w:gridCol w:w="4485"/>
            <w:gridCol w:w="915"/>
            <w:gridCol w:w="9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İŞLEM TÜRÜ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İşlemi Yapan Personel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Hurdaya Ayırma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(Malzeme kullanılamaz duruma geldiğinde)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Amortisman Kapatma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(Mali ömrü tamamlandığında)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Transfer Kaydı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(Konum değişikliği olduğunda. Örn: Ofisten Depoya)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Yıllık Sayım Kontrolü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(Fiziki sayım sırasında)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Notlar: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8k757fviuxqn" w:id="5"/>
      <w:bookmarkEnd w:id="5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Kullanım Kılavuzu: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Kayıt Zorunluluğu:</w:t>
      </w:r>
      <w:r w:rsidDel="00000000" w:rsidR="00000000" w:rsidRPr="00000000">
        <w:rPr>
          <w:color w:val="1b1c1d"/>
          <w:rtl w:val="0"/>
        </w:rPr>
        <w:t xml:space="preserve"> Kulübe giren her yeni taşınır veya sabit kıymet, 7 gün içinde bu form ile kayıt altına alınmalıdır.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Benzersiz No:</w:t>
      </w:r>
      <w:r w:rsidDel="00000000" w:rsidR="00000000" w:rsidRPr="00000000">
        <w:rPr>
          <w:color w:val="1b1c1d"/>
          <w:rtl w:val="0"/>
        </w:rPr>
        <w:t xml:space="preserve"> Her kıymete, üzerinde bulunduğu süre boyunca aynı kalacak benzersiz bir </w:t>
      </w:r>
      <w:r w:rsidDel="00000000" w:rsidR="00000000" w:rsidRPr="00000000">
        <w:rPr>
          <w:b w:val="1"/>
          <w:color w:val="1b1c1d"/>
          <w:rtl w:val="0"/>
        </w:rPr>
        <w:t xml:space="preserve">Kayıt No</w:t>
      </w:r>
      <w:r w:rsidDel="00000000" w:rsidR="00000000" w:rsidRPr="00000000">
        <w:rPr>
          <w:color w:val="1b1c1d"/>
          <w:rtl w:val="0"/>
        </w:rPr>
        <w:t xml:space="preserve"> verilmelidir (Bu numara fiziksel bir etiketle malzemeye yapıştırılabilir).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Yıllık Sayım:</w:t>
      </w:r>
      <w:r w:rsidDel="00000000" w:rsidR="00000000" w:rsidRPr="00000000">
        <w:rPr>
          <w:color w:val="1b1c1d"/>
          <w:rtl w:val="0"/>
        </w:rPr>
        <w:t xml:space="preserve"> Mali İşler ve İdari İşler Müdürlüğü, yılda en az bir kez bu formu kullanarak fiziki envanter sayımı yapar ve kayıtlarla tutarsızlıkları raporlar.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Zimmet:</w:t>
      </w:r>
      <w:r w:rsidDel="00000000" w:rsidR="00000000" w:rsidRPr="00000000">
        <w:rPr>
          <w:color w:val="1b1c1d"/>
          <w:rtl w:val="0"/>
        </w:rPr>
        <w:t xml:space="preserve"> Malzemenin sorumlusu değiştiğinde veya malzeme hurdaya ayrıldığında </w:t>
      </w:r>
      <w:r w:rsidDel="00000000" w:rsidR="00000000" w:rsidRPr="00000000">
        <w:rPr>
          <w:b w:val="1"/>
          <w:color w:val="1b1c1d"/>
          <w:rtl w:val="0"/>
        </w:rPr>
        <w:t xml:space="preserve">Takip ve Sonuç Bölümü</w:t>
      </w:r>
      <w:r w:rsidDel="00000000" w:rsidR="00000000" w:rsidRPr="00000000">
        <w:rPr>
          <w:color w:val="1b1c1d"/>
          <w:rtl w:val="0"/>
        </w:rPr>
        <w:t xml:space="preserve"> güncellenir.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after="160" w:line="259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-352418</wp:posOffset>
          </wp:positionH>
          <wp:positionV relativeFrom="paragraph">
            <wp:posOffset>2819</wp:posOffset>
          </wp:positionV>
          <wp:extent cx="1057592" cy="105759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592" cy="10575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spacing w:after="160" w:line="259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ÇAN GELENEKSEL OKÇULUK SPOR KULÜBÜ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Mali ve İdari İşler Operasyonel Standartlar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after="160" w:line="259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4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